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B6B" w:rsidRDefault="00A11B6B" w:rsidP="00F2146C">
      <w:pPr>
        <w:shd w:val="clear" w:color="auto" w:fill="FFFFFF"/>
        <w:overflowPunct w:val="0"/>
        <w:autoSpaceDE w:val="0"/>
        <w:autoSpaceDN w:val="0"/>
        <w:adjustRightInd w:val="0"/>
        <w:spacing w:line="312" w:lineRule="atLeast"/>
        <w:contextualSpacing/>
        <w:jc w:val="center"/>
        <w:textAlignment w:val="baseline"/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</w:pPr>
      <w:r w:rsidRPr="00A11B6B"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  <w:t xml:space="preserve">Примерный перечень тем </w:t>
      </w:r>
      <w:r w:rsidR="003825E6"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  <w:t>диссертаций</w:t>
      </w:r>
      <w:r w:rsidRPr="00A11B6B"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  <w:t xml:space="preserve"> по </w:t>
      </w:r>
      <w:r w:rsidR="003825E6"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  <w:t xml:space="preserve">дисциплинам кафедры </w:t>
      </w:r>
      <w:r w:rsidR="002D6F90"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  <w:t xml:space="preserve">предпринимательского, конкурентного и финансового права по </w:t>
      </w:r>
      <w:r w:rsidR="003825E6"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  <w:t>магистерской программ</w:t>
      </w:r>
      <w:r w:rsidR="002D6F90"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  <w:t>е</w:t>
      </w:r>
      <w:r w:rsidR="003825E6"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  <w:t xml:space="preserve"> </w:t>
      </w:r>
      <w:r w:rsidRPr="00A11B6B"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  <w:t>"Корпоративный юрист</w:t>
      </w:r>
      <w:r w:rsidR="00AA2ED5"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  <w:t>» на 2026 – 2027</w:t>
      </w:r>
      <w:r w:rsidR="006D4EE6"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  <w:t>уч. год</w:t>
      </w:r>
    </w:p>
    <w:p w:rsidR="00A11B6B" w:rsidRPr="00A11B6B" w:rsidRDefault="00A11B6B" w:rsidP="00A11B6B">
      <w:pPr>
        <w:shd w:val="clear" w:color="auto" w:fill="FFFFFF"/>
        <w:overflowPunct w:val="0"/>
        <w:autoSpaceDE w:val="0"/>
        <w:autoSpaceDN w:val="0"/>
        <w:adjustRightInd w:val="0"/>
        <w:spacing w:line="312" w:lineRule="atLeast"/>
        <w:contextualSpacing/>
        <w:textAlignment w:val="baseline"/>
        <w:rPr>
          <w:rFonts w:ascii="Times New Roman" w:hAnsi="Times New Roman"/>
          <w:b/>
          <w:sz w:val="32"/>
          <w:szCs w:val="32"/>
          <w:shd w:val="clear" w:color="auto" w:fill="FFFFFF"/>
          <w:lang w:eastAsia="ru-RU"/>
        </w:rPr>
      </w:pPr>
    </w:p>
    <w:p w:rsidR="00A11B6B" w:rsidRPr="00F32BED" w:rsidRDefault="00C22C86" w:rsidP="008D4D17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F32BED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Основания и порядок изменения и досрочного расторжения договоров. Отказ от договора</w:t>
      </w:r>
      <w:r w:rsidRPr="00F32BED">
        <w:rPr>
          <w:rFonts w:ascii="Times New Roman" w:hAnsi="Times New Roman"/>
          <w:sz w:val="28"/>
          <w:szCs w:val="28"/>
          <w:lang w:eastAsia="ru-RU"/>
        </w:rPr>
        <w:t>.</w:t>
      </w:r>
    </w:p>
    <w:p w:rsidR="004C1C58" w:rsidRPr="00F32BED" w:rsidRDefault="004C1C58" w:rsidP="008D4D17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F32BED">
        <w:rPr>
          <w:rFonts w:ascii="Times New Roman" w:hAnsi="Times New Roman"/>
          <w:sz w:val="28"/>
          <w:szCs w:val="28"/>
          <w:lang w:eastAsia="ru-RU"/>
        </w:rPr>
        <w:t>Расторжение нарушенного договора: актуальные вопросы теории и практики.</w:t>
      </w:r>
    </w:p>
    <w:p w:rsidR="00C22C86" w:rsidRPr="00F32BED" w:rsidRDefault="00C22C86" w:rsidP="008D4D17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F32BED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Специальные договорные конструкции в гражданском праве</w:t>
      </w:r>
      <w:r w:rsidR="004A213C" w:rsidRPr="00F32BED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:</w:t>
      </w:r>
      <w:r w:rsidRPr="00F32BED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 вопросы их использования в предпринимательской деятельности.</w:t>
      </w:r>
    </w:p>
    <w:p w:rsidR="00C22C86" w:rsidRPr="00F32BED" w:rsidRDefault="00C22C86" w:rsidP="008D4D17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F32BED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Опционные конструкции в гражданском праве и предварительный договор: сравнительно-правовое исследование.</w:t>
      </w:r>
    </w:p>
    <w:p w:rsidR="004A213C" w:rsidRPr="00F32BED" w:rsidRDefault="004A213C" w:rsidP="008D4D17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F32BED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Опционные соглашения в корпоративном праве.</w:t>
      </w:r>
    </w:p>
    <w:p w:rsidR="00C22C86" w:rsidRPr="00F32BED" w:rsidRDefault="00C22C86" w:rsidP="008D4D17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F32BED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Дистрибьюторский договор: понятие, основные условия, проблемы правоприменительной практики.</w:t>
      </w:r>
    </w:p>
    <w:p w:rsidR="001E4A97" w:rsidRPr="00F32BED" w:rsidRDefault="001E4A97" w:rsidP="00F76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F32BED">
        <w:rPr>
          <w:rFonts w:ascii="Times New Roman" w:hAnsi="Times New Roman"/>
          <w:sz w:val="28"/>
          <w:szCs w:val="28"/>
          <w:lang w:eastAsia="ru-RU"/>
        </w:rPr>
        <w:t xml:space="preserve">Ответственность директора перед корпорацией за причиненные ей убытки. </w:t>
      </w:r>
    </w:p>
    <w:p w:rsidR="00A11B6B" w:rsidRPr="00F32BED" w:rsidRDefault="00A11B6B" w:rsidP="008D4D17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F32BED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Примирительные процедуры в </w:t>
      </w:r>
      <w:r w:rsidR="004C1C58" w:rsidRPr="00F32BED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России и за рубежом: сравнительно-правовой анализ.</w:t>
      </w:r>
    </w:p>
    <w:p w:rsidR="001B2561" w:rsidRDefault="004C1C58" w:rsidP="001B2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F32BED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Корпоративные конфликты и правовые средства их урегулирования.</w:t>
      </w:r>
    </w:p>
    <w:p w:rsidR="004C1C58" w:rsidRPr="001B2561" w:rsidRDefault="004C1C58" w:rsidP="001B2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Ответственность единоличного исполнительного органа за убытки, причиненные хозяйственному органу.</w:t>
      </w:r>
    </w:p>
    <w:p w:rsidR="006D1EF0" w:rsidRPr="00F32BED" w:rsidRDefault="006D1EF0" w:rsidP="006D1EF0">
      <w:pPr>
        <w:pStyle w:val="a6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100" w:beforeAutospacing="1" w:after="100" w:afterAutospacing="1"/>
        <w:ind w:left="0" w:firstLine="567"/>
        <w:jc w:val="both"/>
        <w:rPr>
          <w:rFonts w:ascii="Times New Roman" w:hAnsi="Times New Roman"/>
          <w:color w:val="C00000"/>
          <w:sz w:val="28"/>
          <w:szCs w:val="28"/>
          <w:lang w:eastAsia="ru-RU"/>
        </w:rPr>
      </w:pPr>
      <w:r w:rsidRPr="00F32BED">
        <w:rPr>
          <w:rFonts w:ascii="Times New Roman" w:hAnsi="Times New Roman"/>
          <w:bCs/>
          <w:sz w:val="28"/>
          <w:szCs w:val="28"/>
          <w:lang w:eastAsia="ru-RU"/>
        </w:rPr>
        <w:t>Ответственность лица, уполномоченного выступать от имени юридического лица, членов коллегиальных органов юридического лица и лиц, определяющих действия юридического лица.</w:t>
      </w:r>
      <w:r w:rsidR="004A6027" w:rsidRPr="00F32BED">
        <w:rPr>
          <w:rFonts w:ascii="Times New Roman" w:hAnsi="Times New Roman"/>
          <w:bCs/>
          <w:sz w:val="28"/>
          <w:szCs w:val="28"/>
          <w:lang w:eastAsia="ru-RU"/>
        </w:rPr>
        <w:t xml:space="preserve"> – </w:t>
      </w:r>
    </w:p>
    <w:p w:rsidR="00D23419" w:rsidRPr="00F32BED" w:rsidRDefault="00D23419" w:rsidP="006D1EF0">
      <w:pPr>
        <w:pStyle w:val="a6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100" w:beforeAutospacing="1" w:after="100" w:afterAutospacing="1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2BED">
        <w:rPr>
          <w:rFonts w:ascii="Times New Roman" w:hAnsi="Times New Roman"/>
          <w:bCs/>
          <w:sz w:val="28"/>
          <w:szCs w:val="28"/>
          <w:lang w:eastAsia="ru-RU"/>
        </w:rPr>
        <w:t>Цифровизация рекламной деятельности: проблемы и перспективы.</w:t>
      </w:r>
    </w:p>
    <w:p w:rsidR="004A6027" w:rsidRPr="00F32BED" w:rsidRDefault="004A6027" w:rsidP="006D1EF0">
      <w:pPr>
        <w:pStyle w:val="a6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100" w:beforeAutospacing="1" w:after="100" w:afterAutospacing="1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2BED">
        <w:rPr>
          <w:rFonts w:ascii="Times New Roman" w:hAnsi="Times New Roman"/>
          <w:bCs/>
          <w:sz w:val="28"/>
          <w:szCs w:val="28"/>
          <w:lang w:eastAsia="ru-RU"/>
        </w:rPr>
        <w:t>Рекламное законодательство: актуальные вопросы правоприменения.</w:t>
      </w:r>
    </w:p>
    <w:p w:rsidR="00D23419" w:rsidRPr="00F32BED" w:rsidRDefault="00D23419" w:rsidP="006D1EF0">
      <w:pPr>
        <w:pStyle w:val="a6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100" w:beforeAutospacing="1" w:after="100" w:afterAutospacing="1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2BED">
        <w:rPr>
          <w:rFonts w:ascii="Times New Roman" w:hAnsi="Times New Roman"/>
          <w:bCs/>
          <w:sz w:val="28"/>
          <w:szCs w:val="28"/>
          <w:lang w:eastAsia="ru-RU"/>
        </w:rPr>
        <w:t>Экологические требования к закупкам</w:t>
      </w:r>
      <w:r w:rsidR="004A6027" w:rsidRPr="00F32BED">
        <w:rPr>
          <w:rFonts w:ascii="Times New Roman" w:hAnsi="Times New Roman"/>
          <w:bCs/>
          <w:sz w:val="28"/>
          <w:szCs w:val="28"/>
          <w:lang w:eastAsia="ru-RU"/>
        </w:rPr>
        <w:t>: вопросы правового регулирования и правоприменительной практики.</w:t>
      </w:r>
    </w:p>
    <w:p w:rsidR="001B2561" w:rsidRDefault="00A11B6B" w:rsidP="001B2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Основания для признания налоговой выгоды налогоплательщика необоснованной, налоговые последствия.</w:t>
      </w:r>
    </w:p>
    <w:p w:rsidR="00F32BED" w:rsidRPr="001B2561" w:rsidRDefault="00F32BED" w:rsidP="001B2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 xml:space="preserve">Критерии и последствия признания налоговой выгоды налогоплательщика необоснованной. </w:t>
      </w:r>
    </w:p>
    <w:p w:rsidR="00A11B6B" w:rsidRDefault="00A11B6B" w:rsidP="008D4D17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Защита прав и законных интересов налогоплательщиков.</w:t>
      </w:r>
    </w:p>
    <w:p w:rsidR="001B2561" w:rsidRDefault="00A11B6B" w:rsidP="001B2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Институт взаимозависимых лиц в законодательстве РФ о налогах и сборах.</w:t>
      </w:r>
    </w:p>
    <w:p w:rsidR="001B2561" w:rsidRDefault="00A11B6B" w:rsidP="001B2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Актуальные проблемы неуплаты налогов коммерческими организациями.</w:t>
      </w:r>
    </w:p>
    <w:p w:rsidR="001B2561" w:rsidRDefault="00A11B6B" w:rsidP="001B2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lastRenderedPageBreak/>
        <w:t>Налоговое планирование – правомерное и неправомерное.</w:t>
      </w:r>
    </w:p>
    <w:p w:rsidR="001B2561" w:rsidRDefault="00A11B6B" w:rsidP="001B2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«Цифровая» экономика (</w:t>
      </w:r>
      <w:proofErr w:type="spellStart"/>
      <w:r w:rsidRPr="001B2561">
        <w:rPr>
          <w:rFonts w:ascii="Times New Roman" w:hAnsi="Times New Roman"/>
          <w:sz w:val="28"/>
          <w:szCs w:val="28"/>
          <w:lang w:eastAsia="ru-RU"/>
        </w:rPr>
        <w:t>Digital</w:t>
      </w:r>
      <w:proofErr w:type="spellEnd"/>
      <w:r w:rsidRPr="001B256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B2561">
        <w:rPr>
          <w:rFonts w:ascii="Times New Roman" w:hAnsi="Times New Roman"/>
          <w:sz w:val="28"/>
          <w:szCs w:val="28"/>
          <w:lang w:eastAsia="ru-RU"/>
        </w:rPr>
        <w:t>Economy</w:t>
      </w:r>
      <w:proofErr w:type="spellEnd"/>
      <w:r w:rsidRPr="001B2561">
        <w:rPr>
          <w:rFonts w:ascii="Times New Roman" w:hAnsi="Times New Roman"/>
          <w:sz w:val="28"/>
          <w:szCs w:val="28"/>
          <w:lang w:eastAsia="ru-RU"/>
        </w:rPr>
        <w:t>) и налогообложение.</w:t>
      </w:r>
    </w:p>
    <w:p w:rsidR="001B2561" w:rsidRDefault="00A11B6B" w:rsidP="001B2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 xml:space="preserve">Налоговое стимулирование и </w:t>
      </w:r>
      <w:proofErr w:type="spellStart"/>
      <w:r w:rsidRPr="001B2561">
        <w:rPr>
          <w:rFonts w:ascii="Times New Roman" w:hAnsi="Times New Roman"/>
          <w:sz w:val="28"/>
          <w:szCs w:val="28"/>
          <w:lang w:eastAsia="ru-RU"/>
        </w:rPr>
        <w:t>дестимулирование</w:t>
      </w:r>
      <w:proofErr w:type="spellEnd"/>
      <w:r w:rsidRPr="001B2561">
        <w:rPr>
          <w:rFonts w:ascii="Times New Roman" w:hAnsi="Times New Roman"/>
          <w:sz w:val="28"/>
          <w:szCs w:val="28"/>
          <w:lang w:eastAsia="ru-RU"/>
        </w:rPr>
        <w:t xml:space="preserve"> бизнеса.</w:t>
      </w:r>
    </w:p>
    <w:p w:rsidR="001B2561" w:rsidRDefault="00A11B6B" w:rsidP="001B2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«Недостаточная» капитализация (</w:t>
      </w:r>
      <w:proofErr w:type="spellStart"/>
      <w:r w:rsidRPr="001B2561">
        <w:rPr>
          <w:rFonts w:ascii="Times New Roman" w:hAnsi="Times New Roman"/>
          <w:sz w:val="28"/>
          <w:szCs w:val="28"/>
          <w:lang w:eastAsia="ru-RU"/>
        </w:rPr>
        <w:t>thin</w:t>
      </w:r>
      <w:proofErr w:type="spellEnd"/>
      <w:r w:rsidRPr="001B256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B2561">
        <w:rPr>
          <w:rFonts w:ascii="Times New Roman" w:hAnsi="Times New Roman"/>
          <w:sz w:val="28"/>
          <w:szCs w:val="28"/>
          <w:lang w:eastAsia="ru-RU"/>
        </w:rPr>
        <w:t>capitalization</w:t>
      </w:r>
      <w:proofErr w:type="spellEnd"/>
      <w:r w:rsidRPr="001B2561">
        <w:rPr>
          <w:rFonts w:ascii="Times New Roman" w:hAnsi="Times New Roman"/>
          <w:sz w:val="28"/>
          <w:szCs w:val="28"/>
          <w:lang w:eastAsia="ru-RU"/>
        </w:rPr>
        <w:t>).</w:t>
      </w:r>
    </w:p>
    <w:p w:rsidR="001B2561" w:rsidRDefault="00A11B6B" w:rsidP="001B2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Фактическое право на доходы и концепт «конечного бенефициара»</w:t>
      </w:r>
    </w:p>
    <w:p w:rsidR="001B2561" w:rsidRDefault="00A11B6B" w:rsidP="001B2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 xml:space="preserve">Договоры об </w:t>
      </w:r>
      <w:proofErr w:type="spellStart"/>
      <w:r w:rsidRPr="001B2561">
        <w:rPr>
          <w:rFonts w:ascii="Times New Roman" w:hAnsi="Times New Roman"/>
          <w:sz w:val="28"/>
          <w:szCs w:val="28"/>
          <w:lang w:eastAsia="ru-RU"/>
        </w:rPr>
        <w:t>избежании</w:t>
      </w:r>
      <w:proofErr w:type="spellEnd"/>
      <w:r w:rsidRPr="001B2561">
        <w:rPr>
          <w:rFonts w:ascii="Times New Roman" w:hAnsi="Times New Roman"/>
          <w:sz w:val="28"/>
          <w:szCs w:val="28"/>
          <w:lang w:eastAsia="ru-RU"/>
        </w:rPr>
        <w:t xml:space="preserve"> двойного налогообложения.</w:t>
      </w:r>
    </w:p>
    <w:p w:rsidR="001B2561" w:rsidRDefault="00A11B6B" w:rsidP="001B2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Международно-правовая унификация и гармонизация налогового права.</w:t>
      </w:r>
    </w:p>
    <w:p w:rsidR="001B2561" w:rsidRDefault="00A11B6B" w:rsidP="001B2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Контролируемые иностранные компании и контролирующие лица.</w:t>
      </w:r>
    </w:p>
    <w:p w:rsidR="001B2561" w:rsidRDefault="00A11B6B" w:rsidP="001B2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Мягкое право (</w:t>
      </w:r>
      <w:proofErr w:type="spellStart"/>
      <w:r w:rsidRPr="001B2561">
        <w:rPr>
          <w:rFonts w:ascii="Times New Roman" w:hAnsi="Times New Roman"/>
          <w:sz w:val="28"/>
          <w:szCs w:val="28"/>
          <w:lang w:eastAsia="ru-RU"/>
        </w:rPr>
        <w:t>soft</w:t>
      </w:r>
      <w:proofErr w:type="spellEnd"/>
      <w:r w:rsidRPr="001B2561">
        <w:rPr>
          <w:rFonts w:ascii="Times New Roman" w:hAnsi="Times New Roman"/>
          <w:sz w:val="28"/>
          <w:szCs w:val="28"/>
          <w:lang w:eastAsia="ru-RU"/>
        </w:rPr>
        <w:t> </w:t>
      </w:r>
      <w:proofErr w:type="spellStart"/>
      <w:r w:rsidRPr="001B2561">
        <w:rPr>
          <w:rFonts w:ascii="Times New Roman" w:hAnsi="Times New Roman"/>
          <w:sz w:val="28"/>
          <w:szCs w:val="28"/>
          <w:lang w:eastAsia="ru-RU"/>
        </w:rPr>
        <w:t>law</w:t>
      </w:r>
      <w:proofErr w:type="spellEnd"/>
      <w:r w:rsidRPr="001B2561">
        <w:rPr>
          <w:rFonts w:ascii="Times New Roman" w:hAnsi="Times New Roman"/>
          <w:sz w:val="28"/>
          <w:szCs w:val="28"/>
          <w:lang w:eastAsia="ru-RU"/>
        </w:rPr>
        <w:t>) и трансграничные налоговые отношения.</w:t>
      </w:r>
    </w:p>
    <w:p w:rsidR="001B2561" w:rsidRDefault="00A11B6B" w:rsidP="001B2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Роль ОЭСР в регулировании трансграничных налоговых отношений.</w:t>
      </w:r>
    </w:p>
    <w:p w:rsidR="001B2561" w:rsidRDefault="00A11B6B" w:rsidP="001B2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Международное налогообложение дивидендов, процентов и роялти.</w:t>
      </w:r>
    </w:p>
    <w:p w:rsidR="001B2561" w:rsidRDefault="00A11B6B" w:rsidP="001B2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1B2561">
        <w:rPr>
          <w:rFonts w:ascii="Times New Roman" w:hAnsi="Times New Roman"/>
          <w:sz w:val="28"/>
          <w:szCs w:val="28"/>
          <w:lang w:eastAsia="ru-RU"/>
        </w:rPr>
        <w:t>Избежание</w:t>
      </w:r>
      <w:proofErr w:type="gramEnd"/>
      <w:r w:rsidRPr="001B2561">
        <w:rPr>
          <w:rFonts w:ascii="Times New Roman" w:hAnsi="Times New Roman"/>
          <w:sz w:val="28"/>
          <w:szCs w:val="28"/>
          <w:lang w:eastAsia="ru-RU"/>
        </w:rPr>
        <w:t xml:space="preserve"> двойного налогообложения в международном </w:t>
      </w:r>
      <w:proofErr w:type="spellStart"/>
      <w:r w:rsidRPr="001B2561">
        <w:rPr>
          <w:rFonts w:ascii="Times New Roman" w:hAnsi="Times New Roman"/>
          <w:sz w:val="28"/>
          <w:szCs w:val="28"/>
          <w:lang w:eastAsia="ru-RU"/>
        </w:rPr>
        <w:t>праве.</w:t>
      </w:r>
      <w:proofErr w:type="spellEnd"/>
    </w:p>
    <w:p w:rsidR="001B2561" w:rsidRDefault="00A11B6B" w:rsidP="001B2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1B2561">
        <w:rPr>
          <w:rFonts w:ascii="Times New Roman" w:hAnsi="Times New Roman"/>
          <w:sz w:val="28"/>
          <w:szCs w:val="28"/>
          <w:lang w:eastAsia="ru-RU"/>
        </w:rPr>
        <w:t>Антиуклонительные</w:t>
      </w:r>
      <w:proofErr w:type="spellEnd"/>
      <w:r w:rsidRPr="001B2561">
        <w:rPr>
          <w:rFonts w:ascii="Times New Roman" w:hAnsi="Times New Roman"/>
          <w:sz w:val="28"/>
          <w:szCs w:val="28"/>
          <w:lang w:eastAsia="ru-RU"/>
        </w:rPr>
        <w:t xml:space="preserve"> нормы (</w:t>
      </w:r>
      <w:proofErr w:type="spellStart"/>
      <w:r w:rsidRPr="001B2561">
        <w:rPr>
          <w:rFonts w:ascii="Times New Roman" w:hAnsi="Times New Roman"/>
          <w:sz w:val="28"/>
          <w:szCs w:val="28"/>
          <w:lang w:eastAsia="ru-RU"/>
        </w:rPr>
        <w:t>anti-avoidance</w:t>
      </w:r>
      <w:proofErr w:type="spellEnd"/>
      <w:r w:rsidRPr="001B2561">
        <w:rPr>
          <w:rFonts w:ascii="Times New Roman" w:hAnsi="Times New Roman"/>
          <w:sz w:val="28"/>
          <w:szCs w:val="28"/>
          <w:lang w:eastAsia="ru-RU"/>
        </w:rPr>
        <w:t> </w:t>
      </w:r>
      <w:proofErr w:type="spellStart"/>
      <w:r w:rsidRPr="001B2561">
        <w:rPr>
          <w:rFonts w:ascii="Times New Roman" w:hAnsi="Times New Roman"/>
          <w:sz w:val="28"/>
          <w:szCs w:val="28"/>
          <w:lang w:eastAsia="ru-RU"/>
        </w:rPr>
        <w:t>rules</w:t>
      </w:r>
      <w:proofErr w:type="spellEnd"/>
      <w:r w:rsidRPr="001B2561">
        <w:rPr>
          <w:rFonts w:ascii="Times New Roman" w:hAnsi="Times New Roman"/>
          <w:sz w:val="28"/>
          <w:szCs w:val="28"/>
          <w:lang w:eastAsia="ru-RU"/>
        </w:rPr>
        <w:t>) в международном   налоговом праве.</w:t>
      </w:r>
    </w:p>
    <w:p w:rsidR="001B2561" w:rsidRDefault="00A836E1" w:rsidP="001B2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B25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Налогообложение цифровых валют.</w:t>
      </w:r>
    </w:p>
    <w:p w:rsidR="0035431F" w:rsidRPr="001B2561" w:rsidRDefault="0035431F" w:rsidP="001B2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B256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Налоговое планирование – правомерное и неправомерное.</w:t>
      </w:r>
    </w:p>
    <w:p w:rsidR="0035431F" w:rsidRPr="00075566" w:rsidRDefault="0035431F" w:rsidP="0035431F">
      <w:pPr>
        <w:numPr>
          <w:ilvl w:val="0"/>
          <w:numId w:val="4"/>
        </w:numPr>
        <w:shd w:val="clear" w:color="auto" w:fill="FFFFFF"/>
        <w:tabs>
          <w:tab w:val="left" w:pos="993"/>
        </w:tabs>
        <w:spacing w:before="100" w:beforeAutospacing="1" w:after="100" w:afterAutospacing="1" w:line="276" w:lineRule="auto"/>
        <w:ind w:left="0" w:firstLine="567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7556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Налоговая реконструкция.</w:t>
      </w:r>
    </w:p>
    <w:p w:rsidR="0035431F" w:rsidRDefault="0035431F" w:rsidP="0035431F">
      <w:pPr>
        <w:numPr>
          <w:ilvl w:val="0"/>
          <w:numId w:val="4"/>
        </w:numPr>
        <w:shd w:val="clear" w:color="auto" w:fill="FFFFFF"/>
        <w:tabs>
          <w:tab w:val="left" w:pos="993"/>
        </w:tabs>
        <w:spacing w:before="100" w:beforeAutospacing="1" w:after="100" w:afterAutospacing="1" w:line="276" w:lineRule="auto"/>
        <w:ind w:left="0" w:firstLine="567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7556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Субсидиарная ответственность руководителей (иных контролирующих лиц) по налоговым обязательствам юридических лиц, признаваемым банкротами.</w:t>
      </w:r>
    </w:p>
    <w:p w:rsidR="00A11B6B" w:rsidRDefault="00A11B6B" w:rsidP="00F76561">
      <w:pPr>
        <w:numPr>
          <w:ilvl w:val="0"/>
          <w:numId w:val="4"/>
        </w:numPr>
        <w:shd w:val="clear" w:color="auto" w:fill="FFFFFF"/>
        <w:tabs>
          <w:tab w:val="left" w:pos="1134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Мошенничество (ч.1-4 ст. 159 УК РФ): уголовно-правовые и криминологические аспекты.</w:t>
      </w:r>
    </w:p>
    <w:p w:rsidR="00A11B6B" w:rsidRDefault="008D4D17" w:rsidP="00F76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11B6B">
        <w:rPr>
          <w:rFonts w:ascii="Times New Roman" w:hAnsi="Times New Roman"/>
          <w:sz w:val="28"/>
          <w:szCs w:val="28"/>
          <w:lang w:eastAsia="ru-RU"/>
        </w:rPr>
        <w:t>Мошенничество, сопряжённое с преднамеренным неисполнением договорных обязательств в сфере предпринимательской деятельности (ч.5-7 ст.159 УК РФ).</w:t>
      </w:r>
    </w:p>
    <w:p w:rsidR="00A11B6B" w:rsidRDefault="008D4D17" w:rsidP="00F76561">
      <w:pPr>
        <w:numPr>
          <w:ilvl w:val="0"/>
          <w:numId w:val="4"/>
        </w:numPr>
        <w:shd w:val="clear" w:color="auto" w:fill="FFFFFF"/>
        <w:tabs>
          <w:tab w:val="left" w:pos="1134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11B6B">
        <w:rPr>
          <w:rFonts w:ascii="Times New Roman" w:hAnsi="Times New Roman"/>
          <w:sz w:val="28"/>
          <w:szCs w:val="28"/>
          <w:lang w:eastAsia="ru-RU"/>
        </w:rPr>
        <w:t>Мошенничество в сфере кредитования: уголовно-правовые аспекты.</w:t>
      </w:r>
    </w:p>
    <w:p w:rsidR="00A11B6B" w:rsidRDefault="00A11B6B" w:rsidP="006D1EF0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Присвоение или растрата (ст.160 УК РФ): уголовно-правовые и криминологические аспекты.</w:t>
      </w:r>
    </w:p>
    <w:p w:rsidR="00A11B6B" w:rsidRDefault="00A11B6B" w:rsidP="006D1EF0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Преступное преднамеренное банкротство: уголовно-правовые аспекты.</w:t>
      </w:r>
    </w:p>
    <w:p w:rsidR="00A11B6B" w:rsidRDefault="00A11B6B" w:rsidP="006D1EF0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Неправомерные действия при банкротстве (ст. 195 УК РФ).</w:t>
      </w:r>
    </w:p>
    <w:p w:rsidR="00A11B6B" w:rsidRDefault="00A11B6B" w:rsidP="006D1EF0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Ограничение конкуренции: проблемы применения ст. 178 УК РФ.</w:t>
      </w:r>
    </w:p>
    <w:p w:rsidR="00A11B6B" w:rsidRDefault="00A11B6B" w:rsidP="006D1EF0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Фактический руководитель и лицо, контролирующее должника, как субъекты экономических преступлений.</w:t>
      </w:r>
    </w:p>
    <w:p w:rsidR="00A11B6B" w:rsidRDefault="00A11B6B" w:rsidP="006D1EF0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Принуждение к совершению сделки или к отказу от ее совершения.</w:t>
      </w:r>
    </w:p>
    <w:p w:rsidR="00A11B6B" w:rsidRPr="008F3028" w:rsidRDefault="00A11B6B" w:rsidP="006D1EF0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316B97">
        <w:rPr>
          <w:rFonts w:ascii="Times New Roman" w:hAnsi="Times New Roman"/>
          <w:sz w:val="28"/>
          <w:szCs w:val="28"/>
          <w:lang w:eastAsia="ru-RU"/>
        </w:rPr>
        <w:t>Воспрепятствование законной предпринимательской или иной деятельности: проблемы применения ст.169 УК РФ.</w:t>
      </w:r>
    </w:p>
    <w:p w:rsidR="001B2561" w:rsidRDefault="008F3028" w:rsidP="001B2561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8F3028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lastRenderedPageBreak/>
        <w:t>Организация деятельности по представлению в налоговые органы Российской Федерации и (или) сбыту заведомо подложных счетов-фактур и (или) налоговых деклараций (расчетов</w:t>
      </w:r>
      <w:proofErr w:type="gramStart"/>
      <w:r w:rsidRPr="008F3028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)</w:t>
      </w:r>
      <w:r w:rsidR="00BC182A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(</w:t>
      </w:r>
      <w:proofErr w:type="gramEnd"/>
      <w:r w:rsidR="00BC182A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ст.173.3 УКРФ)</w:t>
      </w:r>
      <w:r w:rsidRPr="008F3028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.</w:t>
      </w:r>
    </w:p>
    <w:p w:rsidR="001B2561" w:rsidRDefault="001B2561" w:rsidP="001B2561">
      <w:pPr>
        <w:pStyle w:val="a6"/>
        <w:shd w:val="clear" w:color="auto" w:fill="FFFFFF"/>
        <w:spacing w:line="240" w:lineRule="auto"/>
        <w:ind w:left="786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B2561" w:rsidRPr="001B2561" w:rsidRDefault="001B2561" w:rsidP="001B2561">
      <w:pPr>
        <w:pStyle w:val="a6"/>
        <w:shd w:val="clear" w:color="auto" w:fill="FFFFFF"/>
        <w:spacing w:line="240" w:lineRule="auto"/>
        <w:ind w:left="786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B2561">
        <w:rPr>
          <w:rFonts w:ascii="Times New Roman" w:hAnsi="Times New Roman"/>
          <w:b/>
          <w:bCs/>
          <w:sz w:val="28"/>
          <w:szCs w:val="28"/>
          <w:lang w:eastAsia="ru-RU"/>
        </w:rPr>
        <w:t>Темы, предложенные федерал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ьным заказчиком - ПАО «</w:t>
      </w:r>
      <w:proofErr w:type="spellStart"/>
      <w:r>
        <w:rPr>
          <w:rFonts w:ascii="Times New Roman" w:hAnsi="Times New Roman"/>
          <w:b/>
          <w:bCs/>
          <w:sz w:val="28"/>
          <w:szCs w:val="28"/>
          <w:lang w:eastAsia="ru-RU"/>
        </w:rPr>
        <w:t>РосГидро</w:t>
      </w:r>
      <w:proofErr w:type="spellEnd"/>
    </w:p>
    <w:p w:rsidR="001B2561" w:rsidRDefault="00F76561" w:rsidP="001B2561">
      <w:pPr>
        <w:numPr>
          <w:ilvl w:val="0"/>
          <w:numId w:val="13"/>
        </w:numPr>
        <w:shd w:val="clear" w:color="auto" w:fill="FFFFFF"/>
        <w:tabs>
          <w:tab w:val="left" w:pos="993"/>
        </w:tabs>
        <w:spacing w:line="276" w:lineRule="auto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Пределы ответственности членов органов управления и бенефициаров корпорации.</w:t>
      </w:r>
    </w:p>
    <w:p w:rsidR="001B2561" w:rsidRDefault="001B2561" w:rsidP="001B2561">
      <w:pPr>
        <w:pStyle w:val="a6"/>
        <w:shd w:val="clear" w:color="auto" w:fill="FFFFFF"/>
        <w:spacing w:line="240" w:lineRule="auto"/>
        <w:ind w:left="927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B2561" w:rsidRPr="001B2561" w:rsidRDefault="001B2561" w:rsidP="001B2561">
      <w:pPr>
        <w:pStyle w:val="a6"/>
        <w:shd w:val="clear" w:color="auto" w:fill="FFFFFF"/>
        <w:spacing w:line="240" w:lineRule="auto"/>
        <w:ind w:left="92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B2561">
        <w:rPr>
          <w:rFonts w:ascii="Times New Roman" w:hAnsi="Times New Roman"/>
          <w:b/>
          <w:bCs/>
          <w:sz w:val="28"/>
          <w:szCs w:val="28"/>
          <w:lang w:eastAsia="ru-RU"/>
        </w:rPr>
        <w:t>Темы, предложенные Союзом «Центрально-Сибирская торгово-промышленная палата»</w:t>
      </w:r>
    </w:p>
    <w:p w:rsidR="001B2561" w:rsidRDefault="00F76561" w:rsidP="001B2561">
      <w:pPr>
        <w:numPr>
          <w:ilvl w:val="0"/>
          <w:numId w:val="14"/>
        </w:numPr>
        <w:shd w:val="clear" w:color="auto" w:fill="FFFFFF"/>
        <w:tabs>
          <w:tab w:val="left" w:pos="993"/>
        </w:tabs>
        <w:spacing w:line="276" w:lineRule="auto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Защита прав участников закупок для государственных и муниципальных нужд при заключении, исполнении и оспаривании государственных и муниципальных контрактов.</w:t>
      </w:r>
    </w:p>
    <w:p w:rsidR="001B2561" w:rsidRDefault="00F76561" w:rsidP="001B2561">
      <w:pPr>
        <w:numPr>
          <w:ilvl w:val="0"/>
          <w:numId w:val="14"/>
        </w:numPr>
        <w:shd w:val="clear" w:color="auto" w:fill="FFFFFF"/>
        <w:tabs>
          <w:tab w:val="left" w:pos="993"/>
        </w:tabs>
        <w:spacing w:line="276" w:lineRule="auto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Проблемы расторжения нарушенного договора: вопросы тории и правоприменительной практики.</w:t>
      </w:r>
    </w:p>
    <w:p w:rsidR="001B2561" w:rsidRDefault="00F76561" w:rsidP="001B2561">
      <w:pPr>
        <w:numPr>
          <w:ilvl w:val="0"/>
          <w:numId w:val="14"/>
        </w:numPr>
        <w:shd w:val="clear" w:color="auto" w:fill="FFFFFF"/>
        <w:tabs>
          <w:tab w:val="left" w:pos="993"/>
        </w:tabs>
        <w:spacing w:line="276" w:lineRule="auto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Проблемы изменения и расторжения контракта в рамках государственных и муниципальных закупок.</w:t>
      </w:r>
    </w:p>
    <w:p w:rsidR="001B2561" w:rsidRDefault="00F76561" w:rsidP="001B2561">
      <w:pPr>
        <w:numPr>
          <w:ilvl w:val="0"/>
          <w:numId w:val="14"/>
        </w:numPr>
        <w:shd w:val="clear" w:color="auto" w:fill="FFFFFF"/>
        <w:tabs>
          <w:tab w:val="left" w:pos="993"/>
        </w:tabs>
        <w:spacing w:line="276" w:lineRule="auto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Деловая репутация коммерческой организации: формирование, защита.</w:t>
      </w:r>
    </w:p>
    <w:p w:rsidR="001B2561" w:rsidRDefault="00F76561" w:rsidP="001B2561">
      <w:pPr>
        <w:numPr>
          <w:ilvl w:val="0"/>
          <w:numId w:val="14"/>
        </w:numPr>
        <w:shd w:val="clear" w:color="auto" w:fill="FFFFFF"/>
        <w:tabs>
          <w:tab w:val="left" w:pos="993"/>
        </w:tabs>
        <w:spacing w:line="276" w:lineRule="auto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Правовое регулирование сделок с заинтересованностью.</w:t>
      </w:r>
    </w:p>
    <w:p w:rsidR="001B2561" w:rsidRDefault="00F76561" w:rsidP="001B2561">
      <w:pPr>
        <w:numPr>
          <w:ilvl w:val="0"/>
          <w:numId w:val="14"/>
        </w:numPr>
        <w:shd w:val="clear" w:color="auto" w:fill="FFFFFF"/>
        <w:tabs>
          <w:tab w:val="left" w:pos="993"/>
        </w:tabs>
        <w:spacing w:line="276" w:lineRule="auto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 xml:space="preserve">Гражданско-правовые аспекты малого </w:t>
      </w:r>
      <w:proofErr w:type="spellStart"/>
      <w:r w:rsidRPr="001B2561">
        <w:rPr>
          <w:rFonts w:ascii="Times New Roman" w:hAnsi="Times New Roman"/>
          <w:sz w:val="28"/>
          <w:szCs w:val="28"/>
          <w:lang w:eastAsia="ru-RU"/>
        </w:rPr>
        <w:t>предпринимательства.</w:t>
      </w:r>
      <w:proofErr w:type="spellEnd"/>
    </w:p>
    <w:p w:rsidR="001B2561" w:rsidRDefault="00F76561" w:rsidP="001B2561">
      <w:pPr>
        <w:numPr>
          <w:ilvl w:val="0"/>
          <w:numId w:val="14"/>
        </w:numPr>
        <w:shd w:val="clear" w:color="auto" w:fill="FFFFFF"/>
        <w:tabs>
          <w:tab w:val="left" w:pos="993"/>
        </w:tabs>
        <w:spacing w:line="276" w:lineRule="auto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proofErr w:type="spellStart"/>
      <w:r w:rsidRPr="001B2561">
        <w:rPr>
          <w:rFonts w:ascii="Times New Roman" w:hAnsi="Times New Roman"/>
          <w:sz w:val="28"/>
          <w:szCs w:val="28"/>
          <w:lang w:eastAsia="ru-RU"/>
        </w:rPr>
        <w:t>Аффилированость</w:t>
      </w:r>
      <w:proofErr w:type="spellEnd"/>
      <w:r w:rsidRPr="001B2561">
        <w:rPr>
          <w:rFonts w:ascii="Times New Roman" w:hAnsi="Times New Roman"/>
          <w:sz w:val="28"/>
          <w:szCs w:val="28"/>
          <w:lang w:eastAsia="ru-RU"/>
        </w:rPr>
        <w:t xml:space="preserve"> в гражданском праве.</w:t>
      </w:r>
    </w:p>
    <w:p w:rsidR="001B2561" w:rsidRDefault="00F76561" w:rsidP="001B2561">
      <w:pPr>
        <w:numPr>
          <w:ilvl w:val="0"/>
          <w:numId w:val="14"/>
        </w:numPr>
        <w:shd w:val="clear" w:color="auto" w:fill="FFFFFF"/>
        <w:tabs>
          <w:tab w:val="left" w:pos="993"/>
        </w:tabs>
        <w:spacing w:line="276" w:lineRule="auto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Инвестирование в стратегические отрасли экономики России: правовые аспекты</w:t>
      </w:r>
    </w:p>
    <w:p w:rsidR="001B2561" w:rsidRDefault="00F76561" w:rsidP="001B2561">
      <w:pPr>
        <w:numPr>
          <w:ilvl w:val="0"/>
          <w:numId w:val="14"/>
        </w:numPr>
        <w:shd w:val="clear" w:color="auto" w:fill="FFFFFF"/>
        <w:tabs>
          <w:tab w:val="left" w:pos="993"/>
        </w:tabs>
        <w:spacing w:line="276" w:lineRule="auto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 xml:space="preserve">Свобода договора и ее пределы в предпринимательской деятельности: актуальные вопросы </w:t>
      </w:r>
      <w:proofErr w:type="spellStart"/>
      <w:r w:rsidRPr="001B2561">
        <w:rPr>
          <w:rFonts w:ascii="Times New Roman" w:hAnsi="Times New Roman"/>
          <w:sz w:val="28"/>
          <w:szCs w:val="28"/>
          <w:lang w:eastAsia="ru-RU"/>
        </w:rPr>
        <w:t>правоприменения</w:t>
      </w:r>
      <w:proofErr w:type="spellEnd"/>
      <w:r w:rsidRPr="001B2561">
        <w:rPr>
          <w:rFonts w:ascii="Times New Roman" w:hAnsi="Times New Roman"/>
          <w:sz w:val="28"/>
          <w:szCs w:val="28"/>
          <w:lang w:eastAsia="ru-RU"/>
        </w:rPr>
        <w:t>.</w:t>
      </w:r>
    </w:p>
    <w:p w:rsidR="001B2561" w:rsidRDefault="00F76561" w:rsidP="001B2561">
      <w:pPr>
        <w:numPr>
          <w:ilvl w:val="0"/>
          <w:numId w:val="14"/>
        </w:numPr>
        <w:shd w:val="clear" w:color="auto" w:fill="FFFFFF"/>
        <w:tabs>
          <w:tab w:val="left" w:pos="993"/>
        </w:tabs>
        <w:spacing w:line="276" w:lineRule="auto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Вопросы использования и охраны средств индивидуализации объектов торгового оборота в современных экономических условиях.</w:t>
      </w:r>
    </w:p>
    <w:p w:rsidR="001B2561" w:rsidRDefault="001B2561" w:rsidP="001B2561">
      <w:pPr>
        <w:pStyle w:val="a6"/>
        <w:shd w:val="clear" w:color="auto" w:fill="FFFFFF"/>
        <w:spacing w:line="240" w:lineRule="auto"/>
        <w:ind w:left="927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B2561" w:rsidRPr="001B2561" w:rsidRDefault="001B2561" w:rsidP="001B2561">
      <w:pPr>
        <w:pStyle w:val="a6"/>
        <w:shd w:val="clear" w:color="auto" w:fill="FFFFFF"/>
        <w:spacing w:line="240" w:lineRule="auto"/>
        <w:ind w:left="927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B2561">
        <w:rPr>
          <w:rFonts w:ascii="Times New Roman" w:hAnsi="Times New Roman"/>
          <w:b/>
          <w:bCs/>
          <w:sz w:val="28"/>
          <w:szCs w:val="28"/>
          <w:lang w:eastAsia="ru-RU"/>
        </w:rPr>
        <w:t>Темы, предложенные Красноярским региональным отделением Общероссийской общественной организации «Ассоциация юристов России»</w:t>
      </w:r>
    </w:p>
    <w:p w:rsidR="001B2561" w:rsidRDefault="00F76561" w:rsidP="001B2561">
      <w:pPr>
        <w:numPr>
          <w:ilvl w:val="0"/>
          <w:numId w:val="15"/>
        </w:numPr>
        <w:shd w:val="clear" w:color="auto" w:fill="FFFFFF"/>
        <w:tabs>
          <w:tab w:val="left" w:pos="993"/>
        </w:tabs>
        <w:spacing w:line="276" w:lineRule="auto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Недействительность крупных сделок.</w:t>
      </w:r>
    </w:p>
    <w:p w:rsidR="001B2561" w:rsidRDefault="00F76561" w:rsidP="001B2561">
      <w:pPr>
        <w:numPr>
          <w:ilvl w:val="0"/>
          <w:numId w:val="15"/>
        </w:numPr>
        <w:shd w:val="clear" w:color="auto" w:fill="FFFFFF"/>
        <w:tabs>
          <w:tab w:val="left" w:pos="993"/>
        </w:tabs>
        <w:spacing w:line="276" w:lineRule="auto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Корпоративные споры и правовые средства их разрешения.</w:t>
      </w:r>
    </w:p>
    <w:p w:rsidR="001B2561" w:rsidRDefault="00F76561" w:rsidP="001B2561">
      <w:pPr>
        <w:numPr>
          <w:ilvl w:val="0"/>
          <w:numId w:val="15"/>
        </w:numPr>
        <w:shd w:val="clear" w:color="auto" w:fill="FFFFFF"/>
        <w:tabs>
          <w:tab w:val="left" w:pos="993"/>
        </w:tabs>
        <w:spacing w:line="276" w:lineRule="auto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Мировое соглашение по корпоративным спорам.</w:t>
      </w:r>
    </w:p>
    <w:p w:rsidR="001B2561" w:rsidRPr="001B2561" w:rsidRDefault="00F76561" w:rsidP="001B2561">
      <w:pPr>
        <w:numPr>
          <w:ilvl w:val="0"/>
          <w:numId w:val="15"/>
        </w:numPr>
        <w:shd w:val="clear" w:color="auto" w:fill="FFFFFF"/>
        <w:tabs>
          <w:tab w:val="left" w:pos="993"/>
        </w:tabs>
        <w:spacing w:line="276" w:lineRule="auto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Ответственность членов органов управления и бенефициаров корпорации.</w:t>
      </w:r>
      <w:r>
        <w:t xml:space="preserve"> </w:t>
      </w:r>
    </w:p>
    <w:p w:rsidR="001B2561" w:rsidRPr="001B2561" w:rsidRDefault="001B2561" w:rsidP="001B2561">
      <w:pPr>
        <w:shd w:val="clear" w:color="auto" w:fill="FFFFFF"/>
        <w:tabs>
          <w:tab w:val="left" w:pos="993"/>
        </w:tabs>
        <w:spacing w:line="276" w:lineRule="auto"/>
        <w:ind w:left="927"/>
        <w:jc w:val="center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Темы, предложенные УФАС России</w:t>
      </w:r>
    </w:p>
    <w:p w:rsidR="001B2561" w:rsidRDefault="00F76561" w:rsidP="001B2561">
      <w:pPr>
        <w:numPr>
          <w:ilvl w:val="0"/>
          <w:numId w:val="16"/>
        </w:numPr>
        <w:shd w:val="clear" w:color="auto" w:fill="FFFFFF"/>
        <w:tabs>
          <w:tab w:val="left" w:pos="993"/>
        </w:tabs>
        <w:spacing w:line="276" w:lineRule="auto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Нарушение антимонопольного законодательства в сфере ЖКХ.</w:t>
      </w:r>
    </w:p>
    <w:p w:rsidR="001B2561" w:rsidRDefault="00F76561" w:rsidP="001B2561">
      <w:pPr>
        <w:numPr>
          <w:ilvl w:val="0"/>
          <w:numId w:val="16"/>
        </w:numPr>
        <w:shd w:val="clear" w:color="auto" w:fill="FFFFFF"/>
        <w:tabs>
          <w:tab w:val="left" w:pos="993"/>
        </w:tabs>
        <w:spacing w:line="276" w:lineRule="auto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lastRenderedPageBreak/>
        <w:t>Правовые риски субъектов естественных монополий и лиц, занимающих доминирующее положение на рынке теплоснабжения и пути минимизации рисков.</w:t>
      </w:r>
    </w:p>
    <w:p w:rsidR="001B2561" w:rsidRDefault="00F76561" w:rsidP="001B2561">
      <w:pPr>
        <w:numPr>
          <w:ilvl w:val="0"/>
          <w:numId w:val="16"/>
        </w:numPr>
        <w:shd w:val="clear" w:color="auto" w:fill="FFFFFF"/>
        <w:tabs>
          <w:tab w:val="left" w:pos="993"/>
        </w:tabs>
        <w:spacing w:line="276" w:lineRule="auto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Контрактная система Российской Федерации как основа регулирования закупок для государственных и муниципальных нужд: отдельные вопросы теории и практики.</w:t>
      </w:r>
    </w:p>
    <w:p w:rsidR="001B2561" w:rsidRDefault="00F76561" w:rsidP="001B2561">
      <w:pPr>
        <w:numPr>
          <w:ilvl w:val="0"/>
          <w:numId w:val="16"/>
        </w:numPr>
        <w:shd w:val="clear" w:color="auto" w:fill="FFFFFF"/>
        <w:tabs>
          <w:tab w:val="left" w:pos="993"/>
        </w:tabs>
        <w:spacing w:line="276" w:lineRule="auto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Национальный режим государственных и муниципальных закупок: особенности применения в современных экономических условиях. </w:t>
      </w:r>
    </w:p>
    <w:p w:rsidR="001B2561" w:rsidRDefault="00F76561" w:rsidP="001B2561">
      <w:pPr>
        <w:numPr>
          <w:ilvl w:val="0"/>
          <w:numId w:val="16"/>
        </w:numPr>
        <w:shd w:val="clear" w:color="auto" w:fill="FFFFFF"/>
        <w:tabs>
          <w:tab w:val="left" w:pos="993"/>
        </w:tabs>
        <w:spacing w:line="276" w:lineRule="auto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>Злоупотребление доминирующим положением на цифровых рынках.</w:t>
      </w:r>
    </w:p>
    <w:p w:rsidR="00F76561" w:rsidRPr="001B2561" w:rsidRDefault="00F76561" w:rsidP="001B2561">
      <w:pPr>
        <w:numPr>
          <w:ilvl w:val="0"/>
          <w:numId w:val="16"/>
        </w:numPr>
        <w:shd w:val="clear" w:color="auto" w:fill="FFFFFF"/>
        <w:tabs>
          <w:tab w:val="left" w:pos="993"/>
        </w:tabs>
        <w:spacing w:line="276" w:lineRule="auto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B2561">
        <w:rPr>
          <w:rFonts w:ascii="Times New Roman" w:hAnsi="Times New Roman"/>
          <w:sz w:val="28"/>
          <w:szCs w:val="28"/>
          <w:lang w:eastAsia="ru-RU"/>
        </w:rPr>
        <w:t xml:space="preserve">Правовая оценка сделок экономической концентрации: </w:t>
      </w:r>
      <w:proofErr w:type="spellStart"/>
      <w:r w:rsidRPr="001B2561">
        <w:rPr>
          <w:rFonts w:ascii="Times New Roman" w:hAnsi="Times New Roman"/>
          <w:sz w:val="28"/>
          <w:szCs w:val="28"/>
          <w:lang w:eastAsia="ru-RU"/>
        </w:rPr>
        <w:t>антиконкурентные</w:t>
      </w:r>
      <w:proofErr w:type="spellEnd"/>
      <w:r w:rsidRPr="001B2561">
        <w:rPr>
          <w:rFonts w:ascii="Times New Roman" w:hAnsi="Times New Roman"/>
          <w:sz w:val="28"/>
          <w:szCs w:val="28"/>
          <w:lang w:eastAsia="ru-RU"/>
        </w:rPr>
        <w:t xml:space="preserve"> и </w:t>
      </w:r>
      <w:proofErr w:type="spellStart"/>
      <w:r w:rsidRPr="001B2561">
        <w:rPr>
          <w:rFonts w:ascii="Times New Roman" w:hAnsi="Times New Roman"/>
          <w:sz w:val="28"/>
          <w:szCs w:val="28"/>
          <w:lang w:eastAsia="ru-RU"/>
        </w:rPr>
        <w:t>проконкурентные</w:t>
      </w:r>
      <w:proofErr w:type="spellEnd"/>
      <w:r w:rsidRPr="001B2561">
        <w:rPr>
          <w:rFonts w:ascii="Times New Roman" w:hAnsi="Times New Roman"/>
          <w:sz w:val="28"/>
          <w:szCs w:val="28"/>
          <w:lang w:eastAsia="ru-RU"/>
        </w:rPr>
        <w:t xml:space="preserve"> эффекты.</w:t>
      </w:r>
    </w:p>
    <w:p w:rsidR="00D609F4" w:rsidRPr="0035431F" w:rsidRDefault="00D609F4" w:rsidP="00D609F4">
      <w:pPr>
        <w:shd w:val="clear" w:color="auto" w:fill="FFFFFF"/>
        <w:tabs>
          <w:tab w:val="left" w:pos="993"/>
        </w:tabs>
        <w:spacing w:line="276" w:lineRule="auto"/>
        <w:ind w:left="567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</w:p>
    <w:sectPr w:rsidR="00D609F4" w:rsidRPr="0035431F" w:rsidSect="009E7F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92B" w:rsidRDefault="0011292B" w:rsidP="00A11B6B">
      <w:pPr>
        <w:spacing w:line="240" w:lineRule="auto"/>
      </w:pPr>
      <w:r>
        <w:separator/>
      </w:r>
    </w:p>
  </w:endnote>
  <w:endnote w:type="continuationSeparator" w:id="0">
    <w:p w:rsidR="0011292B" w:rsidRDefault="0011292B" w:rsidP="00A11B6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92B" w:rsidRDefault="0011292B" w:rsidP="00A11B6B">
      <w:pPr>
        <w:spacing w:line="240" w:lineRule="auto"/>
      </w:pPr>
      <w:r>
        <w:separator/>
      </w:r>
    </w:p>
  </w:footnote>
  <w:footnote w:type="continuationSeparator" w:id="0">
    <w:p w:rsidR="0011292B" w:rsidRDefault="0011292B" w:rsidP="00A11B6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81120"/>
    <w:multiLevelType w:val="multilevel"/>
    <w:tmpl w:val="3EB6560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77044A"/>
    <w:multiLevelType w:val="multilevel"/>
    <w:tmpl w:val="1A77044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1AC8263A"/>
    <w:multiLevelType w:val="multilevel"/>
    <w:tmpl w:val="4C2A3A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2D455B"/>
    <w:multiLevelType w:val="hybridMultilevel"/>
    <w:tmpl w:val="57467432"/>
    <w:lvl w:ilvl="0" w:tplc="17F09DEC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631" w:hanging="360"/>
      </w:pPr>
    </w:lvl>
    <w:lvl w:ilvl="2" w:tplc="0419001B" w:tentative="1">
      <w:start w:val="1"/>
      <w:numFmt w:val="lowerRoman"/>
      <w:lvlText w:val="%3."/>
      <w:lvlJc w:val="right"/>
      <w:pPr>
        <w:ind w:left="4351" w:hanging="180"/>
      </w:pPr>
    </w:lvl>
    <w:lvl w:ilvl="3" w:tplc="0419000F" w:tentative="1">
      <w:start w:val="1"/>
      <w:numFmt w:val="decimal"/>
      <w:lvlText w:val="%4."/>
      <w:lvlJc w:val="left"/>
      <w:pPr>
        <w:ind w:left="5071" w:hanging="360"/>
      </w:pPr>
    </w:lvl>
    <w:lvl w:ilvl="4" w:tplc="04190019" w:tentative="1">
      <w:start w:val="1"/>
      <w:numFmt w:val="lowerLetter"/>
      <w:lvlText w:val="%5."/>
      <w:lvlJc w:val="left"/>
      <w:pPr>
        <w:ind w:left="5791" w:hanging="360"/>
      </w:pPr>
    </w:lvl>
    <w:lvl w:ilvl="5" w:tplc="0419001B" w:tentative="1">
      <w:start w:val="1"/>
      <w:numFmt w:val="lowerRoman"/>
      <w:lvlText w:val="%6."/>
      <w:lvlJc w:val="right"/>
      <w:pPr>
        <w:ind w:left="6511" w:hanging="180"/>
      </w:pPr>
    </w:lvl>
    <w:lvl w:ilvl="6" w:tplc="0419000F" w:tentative="1">
      <w:start w:val="1"/>
      <w:numFmt w:val="decimal"/>
      <w:lvlText w:val="%7."/>
      <w:lvlJc w:val="left"/>
      <w:pPr>
        <w:ind w:left="7231" w:hanging="360"/>
      </w:pPr>
    </w:lvl>
    <w:lvl w:ilvl="7" w:tplc="04190019" w:tentative="1">
      <w:start w:val="1"/>
      <w:numFmt w:val="lowerLetter"/>
      <w:lvlText w:val="%8."/>
      <w:lvlJc w:val="left"/>
      <w:pPr>
        <w:ind w:left="7951" w:hanging="360"/>
      </w:pPr>
    </w:lvl>
    <w:lvl w:ilvl="8" w:tplc="0419001B" w:tentative="1">
      <w:start w:val="1"/>
      <w:numFmt w:val="lowerRoman"/>
      <w:lvlText w:val="%9."/>
      <w:lvlJc w:val="right"/>
      <w:pPr>
        <w:ind w:left="8671" w:hanging="180"/>
      </w:pPr>
    </w:lvl>
  </w:abstractNum>
  <w:abstractNum w:abstractNumId="4">
    <w:nsid w:val="20DA0F28"/>
    <w:multiLevelType w:val="hybridMultilevel"/>
    <w:tmpl w:val="57467432"/>
    <w:lvl w:ilvl="0" w:tplc="17F09DEC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5">
    <w:nsid w:val="253D4B94"/>
    <w:multiLevelType w:val="multilevel"/>
    <w:tmpl w:val="4C2A3A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316027"/>
    <w:multiLevelType w:val="hybridMultilevel"/>
    <w:tmpl w:val="3622414E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3632" w:hanging="360"/>
      </w:pPr>
    </w:lvl>
    <w:lvl w:ilvl="2" w:tplc="FFFFFFFF" w:tentative="1">
      <w:start w:val="1"/>
      <w:numFmt w:val="lowerRoman"/>
      <w:lvlText w:val="%3."/>
      <w:lvlJc w:val="right"/>
      <w:pPr>
        <w:ind w:left="4352" w:hanging="180"/>
      </w:pPr>
    </w:lvl>
    <w:lvl w:ilvl="3" w:tplc="FFFFFFFF" w:tentative="1">
      <w:start w:val="1"/>
      <w:numFmt w:val="decimal"/>
      <w:lvlText w:val="%4."/>
      <w:lvlJc w:val="left"/>
      <w:pPr>
        <w:ind w:left="5072" w:hanging="360"/>
      </w:pPr>
    </w:lvl>
    <w:lvl w:ilvl="4" w:tplc="FFFFFFFF" w:tentative="1">
      <w:start w:val="1"/>
      <w:numFmt w:val="lowerLetter"/>
      <w:lvlText w:val="%5."/>
      <w:lvlJc w:val="left"/>
      <w:pPr>
        <w:ind w:left="5792" w:hanging="360"/>
      </w:pPr>
    </w:lvl>
    <w:lvl w:ilvl="5" w:tplc="FFFFFFFF" w:tentative="1">
      <w:start w:val="1"/>
      <w:numFmt w:val="lowerRoman"/>
      <w:lvlText w:val="%6."/>
      <w:lvlJc w:val="right"/>
      <w:pPr>
        <w:ind w:left="6512" w:hanging="180"/>
      </w:pPr>
    </w:lvl>
    <w:lvl w:ilvl="6" w:tplc="FFFFFFFF" w:tentative="1">
      <w:start w:val="1"/>
      <w:numFmt w:val="decimal"/>
      <w:lvlText w:val="%7."/>
      <w:lvlJc w:val="left"/>
      <w:pPr>
        <w:ind w:left="7232" w:hanging="360"/>
      </w:pPr>
    </w:lvl>
    <w:lvl w:ilvl="7" w:tplc="FFFFFFFF" w:tentative="1">
      <w:start w:val="1"/>
      <w:numFmt w:val="lowerLetter"/>
      <w:lvlText w:val="%8."/>
      <w:lvlJc w:val="left"/>
      <w:pPr>
        <w:ind w:left="7952" w:hanging="360"/>
      </w:pPr>
    </w:lvl>
    <w:lvl w:ilvl="8" w:tplc="FFFFFFFF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7">
    <w:nsid w:val="2E651085"/>
    <w:multiLevelType w:val="multilevel"/>
    <w:tmpl w:val="4C2A3A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BC0EA2"/>
    <w:multiLevelType w:val="hybridMultilevel"/>
    <w:tmpl w:val="57467432"/>
    <w:lvl w:ilvl="0" w:tplc="17F09DEC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631" w:hanging="360"/>
      </w:pPr>
    </w:lvl>
    <w:lvl w:ilvl="2" w:tplc="0419001B" w:tentative="1">
      <w:start w:val="1"/>
      <w:numFmt w:val="lowerRoman"/>
      <w:lvlText w:val="%3."/>
      <w:lvlJc w:val="right"/>
      <w:pPr>
        <w:ind w:left="4351" w:hanging="180"/>
      </w:pPr>
    </w:lvl>
    <w:lvl w:ilvl="3" w:tplc="0419000F" w:tentative="1">
      <w:start w:val="1"/>
      <w:numFmt w:val="decimal"/>
      <w:lvlText w:val="%4."/>
      <w:lvlJc w:val="left"/>
      <w:pPr>
        <w:ind w:left="5071" w:hanging="360"/>
      </w:pPr>
    </w:lvl>
    <w:lvl w:ilvl="4" w:tplc="04190019" w:tentative="1">
      <w:start w:val="1"/>
      <w:numFmt w:val="lowerLetter"/>
      <w:lvlText w:val="%5."/>
      <w:lvlJc w:val="left"/>
      <w:pPr>
        <w:ind w:left="5791" w:hanging="360"/>
      </w:pPr>
    </w:lvl>
    <w:lvl w:ilvl="5" w:tplc="0419001B" w:tentative="1">
      <w:start w:val="1"/>
      <w:numFmt w:val="lowerRoman"/>
      <w:lvlText w:val="%6."/>
      <w:lvlJc w:val="right"/>
      <w:pPr>
        <w:ind w:left="6511" w:hanging="180"/>
      </w:pPr>
    </w:lvl>
    <w:lvl w:ilvl="6" w:tplc="0419000F" w:tentative="1">
      <w:start w:val="1"/>
      <w:numFmt w:val="decimal"/>
      <w:lvlText w:val="%7."/>
      <w:lvlJc w:val="left"/>
      <w:pPr>
        <w:ind w:left="7231" w:hanging="360"/>
      </w:pPr>
    </w:lvl>
    <w:lvl w:ilvl="7" w:tplc="04190019" w:tentative="1">
      <w:start w:val="1"/>
      <w:numFmt w:val="lowerLetter"/>
      <w:lvlText w:val="%8."/>
      <w:lvlJc w:val="left"/>
      <w:pPr>
        <w:ind w:left="7951" w:hanging="360"/>
      </w:pPr>
    </w:lvl>
    <w:lvl w:ilvl="8" w:tplc="0419001B" w:tentative="1">
      <w:start w:val="1"/>
      <w:numFmt w:val="lowerRoman"/>
      <w:lvlText w:val="%9."/>
      <w:lvlJc w:val="right"/>
      <w:pPr>
        <w:ind w:left="8671" w:hanging="180"/>
      </w:pPr>
    </w:lvl>
  </w:abstractNum>
  <w:abstractNum w:abstractNumId="9">
    <w:nsid w:val="409A0F0A"/>
    <w:multiLevelType w:val="multilevel"/>
    <w:tmpl w:val="4C2A3A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2A3A90"/>
    <w:multiLevelType w:val="multilevel"/>
    <w:tmpl w:val="4C2A3A9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552986"/>
    <w:multiLevelType w:val="multilevel"/>
    <w:tmpl w:val="65552986"/>
    <w:lvl w:ilvl="0">
      <w:start w:val="1"/>
      <w:numFmt w:val="decimal"/>
      <w:lvlText w:val="%1."/>
      <w:lvlJc w:val="left"/>
      <w:pPr>
        <w:tabs>
          <w:tab w:val="left" w:pos="927"/>
        </w:tabs>
        <w:ind w:left="927" w:hanging="360"/>
      </w:pPr>
    </w:lvl>
    <w:lvl w:ilvl="1">
      <w:start w:val="1"/>
      <w:numFmt w:val="decimal"/>
      <w:lvlText w:val="%2."/>
      <w:lvlJc w:val="left"/>
      <w:pPr>
        <w:tabs>
          <w:tab w:val="left" w:pos="1647"/>
        </w:tabs>
        <w:ind w:left="1647" w:hanging="360"/>
      </w:pPr>
    </w:lvl>
    <w:lvl w:ilvl="2">
      <w:start w:val="1"/>
      <w:numFmt w:val="decimal"/>
      <w:lvlText w:val="%3."/>
      <w:lvlJc w:val="left"/>
      <w:pPr>
        <w:tabs>
          <w:tab w:val="left" w:pos="2367"/>
        </w:tabs>
        <w:ind w:left="2367" w:hanging="360"/>
      </w:pPr>
    </w:lvl>
    <w:lvl w:ilvl="3">
      <w:start w:val="1"/>
      <w:numFmt w:val="decimal"/>
      <w:lvlText w:val="%4."/>
      <w:lvlJc w:val="left"/>
      <w:pPr>
        <w:tabs>
          <w:tab w:val="left" w:pos="3087"/>
        </w:tabs>
        <w:ind w:left="3087" w:hanging="360"/>
      </w:pPr>
    </w:lvl>
    <w:lvl w:ilvl="4">
      <w:start w:val="1"/>
      <w:numFmt w:val="decimal"/>
      <w:lvlText w:val="%5."/>
      <w:lvlJc w:val="left"/>
      <w:pPr>
        <w:tabs>
          <w:tab w:val="left" w:pos="3807"/>
        </w:tabs>
        <w:ind w:left="3807" w:hanging="360"/>
      </w:pPr>
    </w:lvl>
    <w:lvl w:ilvl="5">
      <w:start w:val="1"/>
      <w:numFmt w:val="decimal"/>
      <w:lvlText w:val="%6."/>
      <w:lvlJc w:val="left"/>
      <w:pPr>
        <w:tabs>
          <w:tab w:val="left" w:pos="4527"/>
        </w:tabs>
        <w:ind w:left="4527" w:hanging="360"/>
      </w:pPr>
    </w:lvl>
    <w:lvl w:ilvl="6">
      <w:start w:val="1"/>
      <w:numFmt w:val="decimal"/>
      <w:lvlText w:val="%7."/>
      <w:lvlJc w:val="left"/>
      <w:pPr>
        <w:tabs>
          <w:tab w:val="left" w:pos="5247"/>
        </w:tabs>
        <w:ind w:left="5247" w:hanging="360"/>
      </w:pPr>
    </w:lvl>
    <w:lvl w:ilvl="7">
      <w:start w:val="1"/>
      <w:numFmt w:val="decimal"/>
      <w:lvlText w:val="%8."/>
      <w:lvlJc w:val="left"/>
      <w:pPr>
        <w:tabs>
          <w:tab w:val="left" w:pos="5967"/>
        </w:tabs>
        <w:ind w:left="5967" w:hanging="360"/>
      </w:pPr>
    </w:lvl>
    <w:lvl w:ilvl="8">
      <w:start w:val="1"/>
      <w:numFmt w:val="decimal"/>
      <w:lvlText w:val="%9."/>
      <w:lvlJc w:val="left"/>
      <w:pPr>
        <w:tabs>
          <w:tab w:val="left" w:pos="6687"/>
        </w:tabs>
        <w:ind w:left="6687" w:hanging="360"/>
      </w:pPr>
    </w:lvl>
  </w:abstractNum>
  <w:abstractNum w:abstractNumId="12">
    <w:nsid w:val="670D279E"/>
    <w:multiLevelType w:val="multilevel"/>
    <w:tmpl w:val="4C2A3A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7B2344E"/>
    <w:multiLevelType w:val="hybridMultilevel"/>
    <w:tmpl w:val="00C6F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EF7575"/>
    <w:multiLevelType w:val="hybridMultilevel"/>
    <w:tmpl w:val="57467432"/>
    <w:lvl w:ilvl="0" w:tplc="17F09DEC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631" w:hanging="360"/>
      </w:pPr>
    </w:lvl>
    <w:lvl w:ilvl="2" w:tplc="0419001B" w:tentative="1">
      <w:start w:val="1"/>
      <w:numFmt w:val="lowerRoman"/>
      <w:lvlText w:val="%3."/>
      <w:lvlJc w:val="right"/>
      <w:pPr>
        <w:ind w:left="4351" w:hanging="180"/>
      </w:pPr>
    </w:lvl>
    <w:lvl w:ilvl="3" w:tplc="0419000F" w:tentative="1">
      <w:start w:val="1"/>
      <w:numFmt w:val="decimal"/>
      <w:lvlText w:val="%4."/>
      <w:lvlJc w:val="left"/>
      <w:pPr>
        <w:ind w:left="5071" w:hanging="360"/>
      </w:pPr>
    </w:lvl>
    <w:lvl w:ilvl="4" w:tplc="04190019" w:tentative="1">
      <w:start w:val="1"/>
      <w:numFmt w:val="lowerLetter"/>
      <w:lvlText w:val="%5."/>
      <w:lvlJc w:val="left"/>
      <w:pPr>
        <w:ind w:left="5791" w:hanging="360"/>
      </w:pPr>
    </w:lvl>
    <w:lvl w:ilvl="5" w:tplc="0419001B" w:tentative="1">
      <w:start w:val="1"/>
      <w:numFmt w:val="lowerRoman"/>
      <w:lvlText w:val="%6."/>
      <w:lvlJc w:val="right"/>
      <w:pPr>
        <w:ind w:left="6511" w:hanging="180"/>
      </w:pPr>
    </w:lvl>
    <w:lvl w:ilvl="6" w:tplc="0419000F" w:tentative="1">
      <w:start w:val="1"/>
      <w:numFmt w:val="decimal"/>
      <w:lvlText w:val="%7."/>
      <w:lvlJc w:val="left"/>
      <w:pPr>
        <w:ind w:left="7231" w:hanging="360"/>
      </w:pPr>
    </w:lvl>
    <w:lvl w:ilvl="7" w:tplc="04190019" w:tentative="1">
      <w:start w:val="1"/>
      <w:numFmt w:val="lowerLetter"/>
      <w:lvlText w:val="%8."/>
      <w:lvlJc w:val="left"/>
      <w:pPr>
        <w:ind w:left="7951" w:hanging="360"/>
      </w:pPr>
    </w:lvl>
    <w:lvl w:ilvl="8" w:tplc="0419001B" w:tentative="1">
      <w:start w:val="1"/>
      <w:numFmt w:val="lowerRoman"/>
      <w:lvlText w:val="%9."/>
      <w:lvlJc w:val="right"/>
      <w:pPr>
        <w:ind w:left="8671" w:hanging="180"/>
      </w:pPr>
    </w:lvl>
  </w:abstractNum>
  <w:abstractNum w:abstractNumId="15">
    <w:nsid w:val="7F6D5949"/>
    <w:multiLevelType w:val="hybridMultilevel"/>
    <w:tmpl w:val="57467432"/>
    <w:lvl w:ilvl="0" w:tplc="17F09DEC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631" w:hanging="360"/>
      </w:pPr>
    </w:lvl>
    <w:lvl w:ilvl="2" w:tplc="0419001B" w:tentative="1">
      <w:start w:val="1"/>
      <w:numFmt w:val="lowerRoman"/>
      <w:lvlText w:val="%3."/>
      <w:lvlJc w:val="right"/>
      <w:pPr>
        <w:ind w:left="4351" w:hanging="180"/>
      </w:pPr>
    </w:lvl>
    <w:lvl w:ilvl="3" w:tplc="0419000F" w:tentative="1">
      <w:start w:val="1"/>
      <w:numFmt w:val="decimal"/>
      <w:lvlText w:val="%4."/>
      <w:lvlJc w:val="left"/>
      <w:pPr>
        <w:ind w:left="5071" w:hanging="360"/>
      </w:pPr>
    </w:lvl>
    <w:lvl w:ilvl="4" w:tplc="04190019" w:tentative="1">
      <w:start w:val="1"/>
      <w:numFmt w:val="lowerLetter"/>
      <w:lvlText w:val="%5."/>
      <w:lvlJc w:val="left"/>
      <w:pPr>
        <w:ind w:left="5791" w:hanging="360"/>
      </w:pPr>
    </w:lvl>
    <w:lvl w:ilvl="5" w:tplc="0419001B" w:tentative="1">
      <w:start w:val="1"/>
      <w:numFmt w:val="lowerRoman"/>
      <w:lvlText w:val="%6."/>
      <w:lvlJc w:val="right"/>
      <w:pPr>
        <w:ind w:left="6511" w:hanging="180"/>
      </w:pPr>
    </w:lvl>
    <w:lvl w:ilvl="6" w:tplc="0419000F" w:tentative="1">
      <w:start w:val="1"/>
      <w:numFmt w:val="decimal"/>
      <w:lvlText w:val="%7."/>
      <w:lvlJc w:val="left"/>
      <w:pPr>
        <w:ind w:left="7231" w:hanging="360"/>
      </w:pPr>
    </w:lvl>
    <w:lvl w:ilvl="7" w:tplc="04190019" w:tentative="1">
      <w:start w:val="1"/>
      <w:numFmt w:val="lowerLetter"/>
      <w:lvlText w:val="%8."/>
      <w:lvlJc w:val="left"/>
      <w:pPr>
        <w:ind w:left="7951" w:hanging="360"/>
      </w:pPr>
    </w:lvl>
    <w:lvl w:ilvl="8" w:tplc="0419001B" w:tentative="1">
      <w:start w:val="1"/>
      <w:numFmt w:val="lowerRoman"/>
      <w:lvlText w:val="%9."/>
      <w:lvlJc w:val="right"/>
      <w:pPr>
        <w:ind w:left="8671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4"/>
  </w:num>
  <w:num w:numId="5">
    <w:abstractNumId w:val="0"/>
  </w:num>
  <w:num w:numId="6">
    <w:abstractNumId w:val="6"/>
  </w:num>
  <w:num w:numId="7">
    <w:abstractNumId w:val="12"/>
  </w:num>
  <w:num w:numId="8">
    <w:abstractNumId w:val="2"/>
  </w:num>
  <w:num w:numId="9">
    <w:abstractNumId w:val="9"/>
  </w:num>
  <w:num w:numId="10">
    <w:abstractNumId w:val="5"/>
  </w:num>
  <w:num w:numId="11">
    <w:abstractNumId w:val="7"/>
  </w:num>
  <w:num w:numId="12">
    <w:abstractNumId w:val="13"/>
  </w:num>
  <w:num w:numId="13">
    <w:abstractNumId w:val="8"/>
  </w:num>
  <w:num w:numId="14">
    <w:abstractNumId w:val="15"/>
  </w:num>
  <w:num w:numId="15">
    <w:abstractNumId w:val="14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1B6B"/>
    <w:rsid w:val="00075566"/>
    <w:rsid w:val="000A5E04"/>
    <w:rsid w:val="000D005D"/>
    <w:rsid w:val="000E7328"/>
    <w:rsid w:val="0011292B"/>
    <w:rsid w:val="00132702"/>
    <w:rsid w:val="00134B89"/>
    <w:rsid w:val="001A229E"/>
    <w:rsid w:val="001B2561"/>
    <w:rsid w:val="001E4A97"/>
    <w:rsid w:val="00225D0B"/>
    <w:rsid w:val="00273AE1"/>
    <w:rsid w:val="002D6F90"/>
    <w:rsid w:val="002E12E7"/>
    <w:rsid w:val="00315BAC"/>
    <w:rsid w:val="003414A0"/>
    <w:rsid w:val="0035431F"/>
    <w:rsid w:val="00377E77"/>
    <w:rsid w:val="003825E6"/>
    <w:rsid w:val="004024F2"/>
    <w:rsid w:val="00433C6F"/>
    <w:rsid w:val="004A213C"/>
    <w:rsid w:val="004A6027"/>
    <w:rsid w:val="004C1C58"/>
    <w:rsid w:val="004C73FA"/>
    <w:rsid w:val="004D5397"/>
    <w:rsid w:val="004E13B9"/>
    <w:rsid w:val="004E7FF3"/>
    <w:rsid w:val="004F3132"/>
    <w:rsid w:val="0054371A"/>
    <w:rsid w:val="005B7548"/>
    <w:rsid w:val="005F0410"/>
    <w:rsid w:val="00602078"/>
    <w:rsid w:val="00630048"/>
    <w:rsid w:val="00657D3C"/>
    <w:rsid w:val="00663A77"/>
    <w:rsid w:val="006B119C"/>
    <w:rsid w:val="006D1EF0"/>
    <w:rsid w:val="006D4EE6"/>
    <w:rsid w:val="007A240D"/>
    <w:rsid w:val="007B7CE7"/>
    <w:rsid w:val="007E571C"/>
    <w:rsid w:val="00826845"/>
    <w:rsid w:val="008816A9"/>
    <w:rsid w:val="008D4D17"/>
    <w:rsid w:val="008F3028"/>
    <w:rsid w:val="00921F06"/>
    <w:rsid w:val="009427B6"/>
    <w:rsid w:val="00953BB8"/>
    <w:rsid w:val="009E7F43"/>
    <w:rsid w:val="00A06A04"/>
    <w:rsid w:val="00A11B6B"/>
    <w:rsid w:val="00A836E1"/>
    <w:rsid w:val="00AA2ED5"/>
    <w:rsid w:val="00AD7645"/>
    <w:rsid w:val="00BA5146"/>
    <w:rsid w:val="00BC182A"/>
    <w:rsid w:val="00BC473E"/>
    <w:rsid w:val="00BE5243"/>
    <w:rsid w:val="00C22C86"/>
    <w:rsid w:val="00D23419"/>
    <w:rsid w:val="00D609F4"/>
    <w:rsid w:val="00DA6AA8"/>
    <w:rsid w:val="00DB6ED5"/>
    <w:rsid w:val="00DC1695"/>
    <w:rsid w:val="00DE7D92"/>
    <w:rsid w:val="00E4690D"/>
    <w:rsid w:val="00E72535"/>
    <w:rsid w:val="00F023B8"/>
    <w:rsid w:val="00F2146C"/>
    <w:rsid w:val="00F32BED"/>
    <w:rsid w:val="00F55C16"/>
    <w:rsid w:val="00F76561"/>
    <w:rsid w:val="00F85A4C"/>
    <w:rsid w:val="00FA0E90"/>
    <w:rsid w:val="00FD0CCE"/>
    <w:rsid w:val="00FE4B39"/>
    <w:rsid w:val="00FE4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B6B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sid w:val="00A11B6B"/>
    <w:rPr>
      <w:rFonts w:cs="Times New Roman"/>
      <w:vertAlign w:val="superscript"/>
    </w:rPr>
  </w:style>
  <w:style w:type="paragraph" w:styleId="a4">
    <w:name w:val="footnote text"/>
    <w:basedOn w:val="a"/>
    <w:link w:val="a5"/>
    <w:uiPriority w:val="99"/>
    <w:rsid w:val="00A11B6B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A11B6B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List Paragraph"/>
    <w:basedOn w:val="a"/>
    <w:uiPriority w:val="34"/>
    <w:qFormat/>
    <w:rsid w:val="00A11B6B"/>
    <w:pPr>
      <w:spacing w:after="200" w:line="276" w:lineRule="auto"/>
      <w:ind w:left="720"/>
      <w:contextualSpacing/>
      <w:jc w:val="left"/>
    </w:pPr>
    <w:rPr>
      <w:rFonts w:eastAsia="Calibri"/>
    </w:rPr>
  </w:style>
  <w:style w:type="paragraph" w:styleId="a7">
    <w:name w:val="No Spacing"/>
    <w:uiPriority w:val="1"/>
    <w:qFormat/>
    <w:rsid w:val="00A11B6B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annotation reference"/>
    <w:basedOn w:val="a0"/>
    <w:uiPriority w:val="99"/>
    <w:semiHidden/>
    <w:unhideWhenUsed/>
    <w:rsid w:val="007E57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E571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E571C"/>
    <w:rPr>
      <w:rFonts w:ascii="Calibri" w:eastAsia="Times New Roman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E57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E571C"/>
    <w:rPr>
      <w:rFonts w:ascii="Calibri" w:eastAsia="Times New Roman" w:hAnsi="Calibri"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E57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571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jenia</dc:creator>
  <cp:lastModifiedBy>jenia</cp:lastModifiedBy>
  <cp:revision>3</cp:revision>
  <dcterms:created xsi:type="dcterms:W3CDTF">2026-10-02T03:36:00Z</dcterms:created>
  <dcterms:modified xsi:type="dcterms:W3CDTF">2026-10-02T03:37:00Z</dcterms:modified>
</cp:coreProperties>
</file>